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Jeevan Auji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fdgfd</w:t>
      </w:r>
      <w:bookmarkStart w:id="0" w:name="_GoBack"/>
      <w:bookmarkEnd w:id="0"/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1E5879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qFormat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qFormat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qFormat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qFormat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167</Characters>
  <Lines>1</Lines>
  <Paragraphs>1</Paragraphs>
  <TotalTime>10</TotalTime>
  <ScaleCrop>false</ScaleCrop>
  <LinksUpToDate>false</LinksUpToDate>
  <CharactersWithSpaces>187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2026-05-12T05:38:15Z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1033-12.1.0.26372</vt:lpwstr>
  </property>
  <property fmtid="{D5CDD505-2E9C-101B-9397-08002B2CF9AE}" pid="13" name="ICV">
    <vt:lpwstr>503D5E89D29342B2BFED1036545079FB_12</vt:lpwstr>
  </property>
</Properties>
</file>